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   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Cím: 8130 Enying Szabadság tér 14. Tel: 22/572-135 Fax: 22/795-882, E-mail: </w:t>
    </w:r>
    <w:hyperlink r:id="rId1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hivatal.enying@fejer.gov.hu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Fejér Vármegyei Kormányhivatal Enyingi Járási Hivatal Foglalkoztatási Osztály</w:t>
    </w:r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 xml:space="preserve">Ügyintézés helye: 8130 Enying Kossuth L. u. 38. Tel: 22/372-990 Fax: 22/372-318, E-mail: </w:t>
    </w:r>
    <w:hyperlink r:id="rId2" w:history="1">
      <w:r>
        <w:rPr>
          <w:rStyle w:val="Hiperhivatkozs"/>
          <w:rFonts w:ascii="Arial" w:eastAsia="Times New Roman" w:hAnsi="Arial" w:cs="Arial"/>
          <w:sz w:val="16"/>
          <w:szCs w:val="16"/>
          <w:lang w:eastAsia="hu-HU"/>
        </w:rPr>
        <w:t>foglalkoztatas.enying@fejer.gov.hu</w:t>
      </w:r>
    </w:hyperlink>
  </w:p>
  <w:p>
    <w:pPr>
      <w:spacing w:after="0" w:line="240" w:lineRule="auto"/>
      <w:ind w:left="-1134" w:firstLine="360"/>
      <w:jc w:val="center"/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eastAsia="Times New Roman" w:hAnsi="Arial" w:cs="Arial"/>
        <w:color w:val="808080" w:themeColor="background1" w:themeShade="80"/>
        <w:sz w:val="16"/>
        <w:szCs w:val="16"/>
        <w:lang w:eastAsia="hu-HU"/>
      </w:rPr>
      <w:t>Ügyfélfogadás: hétfő-szerda- csütörtök 8:00-14:00; péntek 8:00-12:00; kedd-szünnap</w:t>
    </w:r>
  </w:p>
  <w:p>
    <w:pPr>
      <w:pStyle w:val="llb"/>
      <w:ind w:left="-113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71552" behindDoc="0" locked="0" layoutInCell="1" allowOverlap="1">
          <wp:simplePos x="0" y="0"/>
          <wp:positionH relativeFrom="column">
            <wp:posOffset>-826135</wp:posOffset>
          </wp:positionH>
          <wp:positionV relativeFrom="paragraph">
            <wp:posOffset>-225971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Enyingi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enying@fejer.gov.hu" TargetMode="External"/><Relationship Id="rId1" Type="http://schemas.openxmlformats.org/officeDocument/2006/relationships/hyperlink" Target="mailto:hivatal.enying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DEA86-B9A5-4482-851A-C698925B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8</cp:revision>
  <cp:lastPrinted>2024-02-15T10:23:00Z</cp:lastPrinted>
  <dcterms:created xsi:type="dcterms:W3CDTF">2025-07-28T11:45:00Z</dcterms:created>
  <dcterms:modified xsi:type="dcterms:W3CDTF">2025-12-05T08:19:00Z</dcterms:modified>
</cp:coreProperties>
</file>